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bin" ContentType="application/vnd.openxmlformats-officedocument.wordprocessingml.printerSettings"/>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sz w:val="28"/>
          <w:szCs w:val="28"/>
        </w:rPr>
      </w:pPr>
    </w:p>
    <w:p>
      <w:pPr>
        <w:pStyle w:val="Text A"/>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rPr>
          <w:rFonts w:ascii="Arial"/>
        </w:rPr>
      </w:pPr>
    </w:p>
    <w:p>
      <w:pPr>
        <w:pStyle w:val="Standard"/>
        <w:spacing w:line="288" w:lineRule="auto"/>
        <w:jc w:val="both"/>
        <w:rPr>
          <w:rFonts w:ascii="Futura CE Light" w:cs="Futura CE Light" w:hAnsi="Futura CE Light" w:eastAsia="Futura CE Light"/>
          <w:color w:val="000000"/>
          <w:sz w:val="18"/>
          <w:szCs w:val="18"/>
          <w:u w:color="000000"/>
          <w:rtl w:val="0"/>
        </w:rPr>
      </w:pPr>
      <w:r>
        <w:rPr>
          <w:rFonts w:ascii="Futura CE Light"/>
          <w:color w:val="00579a"/>
          <w:sz w:val="40"/>
          <w:szCs w:val="40"/>
          <w:u w:color="00579a"/>
          <w:rtl w:val="0"/>
          <w:lang w:val="de-DE"/>
        </w:rPr>
        <w:t>Mobile Auffahrrampen von PROMStahl</w:t>
      </w:r>
      <w:r>
        <w:rPr>
          <w:rFonts w:ascii="Futura CE Light"/>
          <w:color w:val="000000"/>
          <w:sz w:val="18"/>
          <w:szCs w:val="18"/>
          <w:u w:color="000000"/>
          <w:rtl w:val="0"/>
          <w:lang w:val="de-DE"/>
        </w:rPr>
        <w:t xml:space="preserve"> </w:t>
      </w:r>
    </w:p>
    <w:p>
      <w:pPr>
        <w:pStyle w:val="Freie Form"/>
        <w:spacing w:line="288" w:lineRule="auto"/>
        <w:jc w:val="both"/>
        <w:rPr>
          <w:rFonts w:ascii="Arial" w:cs="Arial" w:hAnsi="Arial" w:eastAsia="Arial"/>
          <w:sz w:val="18"/>
          <w:szCs w:val="18"/>
          <w:rtl w:val="0"/>
        </w:rPr>
      </w:pPr>
    </w:p>
    <w:p>
      <w:pPr>
        <w:pStyle w:val="Standard"/>
        <w:spacing w:line="288" w:lineRule="auto"/>
        <w:jc w:val="both"/>
        <w:rPr>
          <w:rFonts w:ascii="Arial" w:cs="Arial" w:hAnsi="Arial" w:eastAsia="Arial"/>
          <w:sz w:val="18"/>
          <w:szCs w:val="18"/>
        </w:rPr>
      </w:pPr>
      <w:r>
        <w:rPr>
          <w:rFonts w:ascii="Arial" w:cs="Arial" w:hAnsi="Arial" w:eastAsia="Arial"/>
          <w:sz w:val="18"/>
          <w:szCs w:val="18"/>
        </w:rPr>
        <w:drawing>
          <wp:anchor distT="57150" distB="57150" distL="57150" distR="57150" simplePos="0" relativeHeight="251659264" behindDoc="0" locked="0" layoutInCell="1" allowOverlap="1">
            <wp:simplePos x="0" y="0"/>
            <wp:positionH relativeFrom="page">
              <wp:posOffset>711200</wp:posOffset>
            </wp:positionH>
            <wp:positionV relativeFrom="page">
              <wp:posOffset>723900</wp:posOffset>
            </wp:positionV>
            <wp:extent cx="3475583" cy="50800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jpg"/>
                    <pic:cNvPicPr/>
                  </pic:nvPicPr>
                  <pic:blipFill rotWithShape="1">
                    <a:blip r:embed="rId4">
                      <a:extLst/>
                    </a:blip>
                    <a:srcRect l="0" t="0" r="0" b="0"/>
                    <a:stretch>
                      <a:fillRect/>
                    </a:stretch>
                  </pic:blipFill>
                  <pic:spPr>
                    <a:xfrm>
                      <a:off x="0" y="0"/>
                      <a:ext cx="3475583" cy="508000"/>
                    </a:xfrm>
                    <a:prstGeom prst="rect">
                      <a:avLst/>
                    </a:prstGeom>
                    <a:noFill/>
                    <a:ln>
                      <a:noFill/>
                    </a:ln>
                    <a:effectLst/>
                    <a:extLst/>
                  </pic:spPr>
                </pic:pic>
              </a:graphicData>
            </a:graphic>
          </wp:anchor>
        </w:drawing>
      </w:r>
      <w:r>
        <w:rPr>
          <w:rFonts w:ascii="Arial"/>
          <w:sz w:val="18"/>
          <w:szCs w:val="18"/>
          <w:rtl w:val="0"/>
          <w:lang w:val="de-DE"/>
        </w:rPr>
        <w:t>Verladezonen sind aufgrund optimaler Planungen exakt auf die Erfordernisse der Logistik ausgerichtet. Dynamik und Effiziens sind daher die zwingenden Vorgaben an alle Verladesysteme. Neben eingebauten oder vor der Halle als Loadhouses installierten Systemen spielen ebenfalls mobile Auffahrrampen eine wichtige Rolle. Sie bieten die M</w:t>
      </w:r>
      <w:r>
        <w:rPr>
          <w:rFonts w:hAnsi="Arial" w:hint="default"/>
          <w:sz w:val="18"/>
          <w:szCs w:val="18"/>
          <w:rtl w:val="0"/>
          <w:lang w:val="de-DE"/>
        </w:rPr>
        <w:t>ö</w:t>
      </w:r>
      <w:r>
        <w:rPr>
          <w:rFonts w:ascii="Arial"/>
          <w:sz w:val="18"/>
          <w:szCs w:val="18"/>
          <w:rtl w:val="0"/>
          <w:lang w:val="de-DE"/>
        </w:rPr>
        <w:t xml:space="preserve">glichkeit, direkt von der Hofebene aus Lkws, Container oder Waggons zu be- und zu entladen. </w:t>
      </w:r>
    </w:p>
    <w:p>
      <w:pPr>
        <w:pStyle w:val="Standard"/>
        <w:spacing w:line="288" w:lineRule="auto"/>
        <w:jc w:val="both"/>
        <w:rPr>
          <w:rFonts w:ascii="Arial" w:cs="Arial" w:hAnsi="Arial" w:eastAsia="Arial"/>
          <w:sz w:val="18"/>
          <w:szCs w:val="18"/>
        </w:rPr>
      </w:pPr>
    </w:p>
    <w:p>
      <w:pPr>
        <w:pStyle w:val="Standard"/>
        <w:spacing w:line="288" w:lineRule="auto"/>
        <w:jc w:val="both"/>
        <w:rPr>
          <w:rFonts w:ascii="Arial" w:cs="Arial" w:hAnsi="Arial" w:eastAsia="Arial"/>
          <w:sz w:val="18"/>
          <w:szCs w:val="18"/>
        </w:rPr>
      </w:pPr>
      <w:r>
        <w:rPr>
          <w:rFonts w:ascii="Arial"/>
          <w:sz w:val="18"/>
          <w:szCs w:val="18"/>
          <w:rtl w:val="0"/>
          <w:lang w:val="de-DE"/>
        </w:rPr>
        <w:t>Sie sind mit einem Fahrgestell ausgestattet, rollbar, sodass der komplette Rangiervorgang, also das Anlegen an Lkw, Container oder Waggon von nur einer Person ausgef</w:t>
      </w:r>
      <w:r>
        <w:rPr>
          <w:rFonts w:hAnsi="Arial" w:hint="default"/>
          <w:sz w:val="18"/>
          <w:szCs w:val="18"/>
          <w:rtl w:val="0"/>
          <w:lang w:val="de-DE"/>
        </w:rPr>
        <w:t>ü</w:t>
      </w:r>
      <w:r>
        <w:rPr>
          <w:rFonts w:ascii="Arial"/>
          <w:sz w:val="18"/>
          <w:szCs w:val="18"/>
          <w:rtl w:val="0"/>
          <w:lang w:val="de-DE"/>
        </w:rPr>
        <w:t>hrt werden kann. Die PROMStahl-Auffahrrampe besticht durch eine robuste Stahl-Schwei</w:t>
      </w:r>
      <w:r>
        <w:rPr>
          <w:rFonts w:hAnsi="Arial" w:hint="default"/>
          <w:sz w:val="18"/>
          <w:szCs w:val="18"/>
          <w:rtl w:val="0"/>
          <w:lang w:val="de-DE"/>
        </w:rPr>
        <w:t>ß</w:t>
      </w:r>
      <w:r>
        <w:rPr>
          <w:rFonts w:ascii="Arial"/>
          <w:sz w:val="18"/>
          <w:szCs w:val="18"/>
          <w:rtl w:val="0"/>
          <w:lang w:val="de-DE"/>
        </w:rPr>
        <w:t>konstruktion. Der Auffahrbereich besteht aus offenen und rutschfesten Sicherheitsgitterrosten, sodass auch bei Regen, Matsch und Schnee eine absolut sichere Auffahrt f</w:t>
      </w:r>
      <w:r>
        <w:rPr>
          <w:rFonts w:hAnsi="Arial" w:hint="default"/>
          <w:sz w:val="18"/>
          <w:szCs w:val="18"/>
          <w:rtl w:val="0"/>
          <w:lang w:val="de-DE"/>
        </w:rPr>
        <w:t>ü</w:t>
      </w:r>
      <w:r>
        <w:rPr>
          <w:rFonts w:ascii="Arial"/>
          <w:sz w:val="18"/>
          <w:szCs w:val="18"/>
          <w:rtl w:val="0"/>
          <w:lang w:val="de-DE"/>
        </w:rPr>
        <w:t>r alle Flurf</w:t>
      </w:r>
      <w:r>
        <w:rPr>
          <w:rFonts w:hAnsi="Arial" w:hint="default"/>
          <w:sz w:val="18"/>
          <w:szCs w:val="18"/>
          <w:rtl w:val="0"/>
          <w:lang w:val="de-DE"/>
        </w:rPr>
        <w:t>ö</w:t>
      </w:r>
      <w:r>
        <w:rPr>
          <w:rFonts w:ascii="Arial"/>
          <w:sz w:val="18"/>
          <w:szCs w:val="18"/>
          <w:rtl w:val="0"/>
          <w:lang w:val="de-DE"/>
        </w:rPr>
        <w:t>rderzeuge garantiert wird. Ebenso sichern stabile seitliche Stahlwangen beim Auf- und Abfahren den Verladevorgang ab. PROMStahl-Auffahrrampen sind f</w:t>
      </w:r>
      <w:r>
        <w:rPr>
          <w:rFonts w:hAnsi="Arial" w:hint="default"/>
          <w:sz w:val="18"/>
          <w:szCs w:val="18"/>
          <w:rtl w:val="0"/>
          <w:lang w:val="de-DE"/>
        </w:rPr>
        <w:t>ü</w:t>
      </w:r>
      <w:r>
        <w:rPr>
          <w:rFonts w:ascii="Arial"/>
          <w:sz w:val="18"/>
          <w:szCs w:val="18"/>
          <w:rtl w:val="0"/>
          <w:lang w:val="de-DE"/>
        </w:rPr>
        <w:t>r h</w:t>
      </w:r>
      <w:r>
        <w:rPr>
          <w:rFonts w:hAnsi="Arial" w:hint="default"/>
          <w:sz w:val="18"/>
          <w:szCs w:val="18"/>
          <w:rtl w:val="0"/>
          <w:lang w:val="de-DE"/>
        </w:rPr>
        <w:t>ö</w:t>
      </w:r>
      <w:r>
        <w:rPr>
          <w:rFonts w:ascii="Arial"/>
          <w:sz w:val="18"/>
          <w:szCs w:val="18"/>
          <w:rtl w:val="0"/>
          <w:lang w:val="de-DE"/>
        </w:rPr>
        <w:t>chste Belastungen ausgelegt. Die komplette Feuerverzinkung und die hohe Qualit</w:t>
      </w:r>
      <w:r>
        <w:rPr>
          <w:rFonts w:hAnsi="Arial" w:hint="default"/>
          <w:sz w:val="18"/>
          <w:szCs w:val="18"/>
          <w:rtl w:val="0"/>
          <w:lang w:val="de-DE"/>
        </w:rPr>
        <w:t>ä</w:t>
      </w:r>
      <w:r>
        <w:rPr>
          <w:rFonts w:ascii="Arial"/>
          <w:sz w:val="18"/>
          <w:szCs w:val="18"/>
          <w:rtl w:val="0"/>
          <w:lang w:val="de-DE"/>
        </w:rPr>
        <w:t>t der Gesamtkonstruktion garantiert trotz permanenten Einsatz im Au</w:t>
      </w:r>
      <w:r>
        <w:rPr>
          <w:rFonts w:hAnsi="Arial" w:hint="default"/>
          <w:sz w:val="18"/>
          <w:szCs w:val="18"/>
          <w:rtl w:val="0"/>
          <w:lang w:val="de-DE"/>
        </w:rPr>
        <w:t>ß</w:t>
      </w:r>
      <w:r>
        <w:rPr>
          <w:rFonts w:ascii="Arial"/>
          <w:sz w:val="18"/>
          <w:szCs w:val="18"/>
          <w:rtl w:val="0"/>
          <w:lang w:val="de-DE"/>
        </w:rPr>
        <w:t>enbereich eine au</w:t>
      </w:r>
      <w:r>
        <w:rPr>
          <w:rFonts w:hAnsi="Arial" w:hint="default"/>
          <w:sz w:val="18"/>
          <w:szCs w:val="18"/>
          <w:rtl w:val="0"/>
          <w:lang w:val="de-DE"/>
        </w:rPr>
        <w:t>ß</w:t>
      </w:r>
      <w:r>
        <w:rPr>
          <w:rFonts w:ascii="Arial"/>
          <w:sz w:val="18"/>
          <w:szCs w:val="18"/>
          <w:rtl w:val="0"/>
          <w:lang w:val="de-DE"/>
        </w:rPr>
        <w:t>ergew</w:t>
      </w:r>
      <w:r>
        <w:rPr>
          <w:rFonts w:hAnsi="Arial" w:hint="default"/>
          <w:sz w:val="18"/>
          <w:szCs w:val="18"/>
          <w:rtl w:val="0"/>
          <w:lang w:val="de-DE"/>
        </w:rPr>
        <w:t>ö</w:t>
      </w:r>
      <w:r>
        <w:rPr>
          <w:rFonts w:ascii="Arial"/>
          <w:sz w:val="18"/>
          <w:szCs w:val="18"/>
          <w:rtl w:val="0"/>
          <w:lang w:val="de-DE"/>
        </w:rPr>
        <w:t>hnlich lange Lebensdauer.</w:t>
      </w:r>
    </w:p>
    <w:p>
      <w:pPr>
        <w:pStyle w:val="Freie Form"/>
        <w:spacing w:line="288" w:lineRule="auto"/>
        <w:jc w:val="both"/>
        <w:rPr>
          <w:rFonts w:ascii="Arial" w:cs="Arial" w:hAnsi="Arial" w:eastAsia="Arial"/>
          <w:sz w:val="18"/>
          <w:szCs w:val="18"/>
          <w:rtl w:val="0"/>
        </w:rPr>
      </w:pPr>
    </w:p>
    <w:p>
      <w:pPr>
        <w:pStyle w:val="Freie Form"/>
        <w:spacing w:line="288" w:lineRule="auto"/>
        <w:jc w:val="both"/>
        <w:rPr>
          <w:rFonts w:ascii="Arial" w:cs="Arial" w:hAnsi="Arial" w:eastAsia="Arial"/>
          <w:sz w:val="18"/>
          <w:szCs w:val="18"/>
          <w:rtl w:val="0"/>
        </w:rPr>
      </w:pPr>
    </w:p>
    <w:p>
      <w:pPr>
        <w:pStyle w:val="Freie Form"/>
        <w:spacing w:line="288" w:lineRule="auto"/>
        <w:jc w:val="both"/>
        <w:rPr>
          <w:rFonts w:ascii="Arial" w:cs="Arial" w:hAnsi="Arial" w:eastAsia="Arial"/>
          <w:color w:val="00579a"/>
          <w:sz w:val="26"/>
          <w:szCs w:val="26"/>
          <w:u w:color="00579a"/>
          <w:rtl w:val="0"/>
        </w:rPr>
      </w:pPr>
      <w:r>
        <w:rPr>
          <w:rFonts w:ascii="Arial"/>
          <w:color w:val="00579a"/>
          <w:sz w:val="26"/>
          <w:szCs w:val="26"/>
          <w:u w:color="00579a"/>
          <w:rtl w:val="0"/>
          <w:lang w:val="de-DE"/>
        </w:rPr>
        <w:t>PROMStahl GmbH</w:t>
      </w:r>
    </w:p>
    <w:p>
      <w:pPr>
        <w:pStyle w:val="Freie Form"/>
        <w:spacing w:line="288" w:lineRule="auto"/>
        <w:jc w:val="both"/>
        <w:rPr>
          <w:rFonts w:ascii="Arial" w:cs="Arial" w:hAnsi="Arial" w:eastAsia="Arial"/>
          <w:spacing w:val="-2"/>
          <w:sz w:val="18"/>
          <w:szCs w:val="18"/>
          <w:rtl w:val="0"/>
        </w:rPr>
      </w:pPr>
    </w:p>
    <w:p>
      <w:pPr>
        <w:pStyle w:val="Freie Form"/>
        <w:spacing w:line="288" w:lineRule="auto"/>
        <w:jc w:val="both"/>
        <w:rPr>
          <w:rFonts w:ascii="Arial" w:cs="Arial" w:hAnsi="Arial" w:eastAsia="Arial"/>
          <w:spacing w:val="-2"/>
          <w:sz w:val="18"/>
          <w:szCs w:val="18"/>
          <w:rtl w:val="0"/>
        </w:rPr>
      </w:pPr>
      <w:r>
        <w:rPr>
          <w:rFonts w:ascii="Arial"/>
          <w:spacing w:val="-2"/>
          <w:sz w:val="18"/>
          <w:szCs w:val="18"/>
          <w:rtl w:val="0"/>
          <w:lang w:val="de-DE"/>
        </w:rPr>
        <w:t>Die PROMStahl GmbH ist mit der Entwicklung, Fertigung, Vertrieb und Montage von Verladetechnik und Stahlbauelementen im gesamten europ</w:t>
      </w:r>
      <w:r>
        <w:rPr>
          <w:rFonts w:hAnsi="Arial" w:hint="default"/>
          <w:spacing w:val="-2"/>
          <w:sz w:val="18"/>
          <w:szCs w:val="18"/>
          <w:rtl w:val="0"/>
          <w:lang w:val="de-DE"/>
        </w:rPr>
        <w:t>ä</w:t>
      </w:r>
      <w:r>
        <w:rPr>
          <w:rFonts w:ascii="Arial"/>
          <w:spacing w:val="-2"/>
          <w:sz w:val="18"/>
          <w:szCs w:val="18"/>
          <w:rtl w:val="0"/>
          <w:lang w:val="de-DE"/>
        </w:rPr>
        <w:t>ischen Raum vertreten. Sowohl bei der Verladetechnik als auch im Stahlbau verf</w:t>
      </w:r>
      <w:r>
        <w:rPr>
          <w:rFonts w:hAnsi="Arial" w:hint="default"/>
          <w:spacing w:val="-2"/>
          <w:sz w:val="18"/>
          <w:szCs w:val="18"/>
          <w:rtl w:val="0"/>
          <w:lang w:val="de-DE"/>
        </w:rPr>
        <w:t>ü</w:t>
      </w:r>
      <w:r>
        <w:rPr>
          <w:rFonts w:ascii="Arial"/>
          <w:spacing w:val="-2"/>
          <w:sz w:val="18"/>
          <w:szCs w:val="18"/>
          <w:rtl w:val="0"/>
          <w:lang w:val="de-DE"/>
        </w:rPr>
        <w:t xml:space="preserve">gt das Unternehmen </w:t>
      </w:r>
      <w:r>
        <w:rPr>
          <w:rFonts w:hAnsi="Arial" w:hint="default"/>
          <w:spacing w:val="-2"/>
          <w:sz w:val="18"/>
          <w:szCs w:val="18"/>
          <w:rtl w:val="0"/>
          <w:lang w:val="de-DE"/>
        </w:rPr>
        <w:t>ü</w:t>
      </w:r>
      <w:r>
        <w:rPr>
          <w:rFonts w:ascii="Arial"/>
          <w:spacing w:val="-2"/>
          <w:sz w:val="18"/>
          <w:szCs w:val="18"/>
          <w:rtl w:val="0"/>
          <w:lang w:val="de-DE"/>
        </w:rPr>
        <w:t>ber ein jahrzehntelanges Know-how. Ein fl</w:t>
      </w:r>
      <w:r>
        <w:rPr>
          <w:rFonts w:hAnsi="Arial" w:hint="default"/>
          <w:spacing w:val="-2"/>
          <w:sz w:val="18"/>
          <w:szCs w:val="18"/>
          <w:rtl w:val="0"/>
          <w:lang w:val="de-DE"/>
        </w:rPr>
        <w:t>ä</w:t>
      </w:r>
      <w:r>
        <w:rPr>
          <w:rFonts w:ascii="Arial"/>
          <w:spacing w:val="-2"/>
          <w:sz w:val="18"/>
          <w:szCs w:val="18"/>
          <w:rtl w:val="0"/>
          <w:lang w:val="de-DE"/>
        </w:rPr>
        <w:t>chendeckendes Vertriebs- und Beratungsnetz unterst</w:t>
      </w:r>
      <w:r>
        <w:rPr>
          <w:rFonts w:hAnsi="Arial" w:hint="default"/>
          <w:spacing w:val="-2"/>
          <w:sz w:val="18"/>
          <w:szCs w:val="18"/>
          <w:rtl w:val="0"/>
          <w:lang w:val="de-DE"/>
        </w:rPr>
        <w:t>ü</w:t>
      </w:r>
      <w:r>
        <w:rPr>
          <w:rFonts w:ascii="Arial"/>
          <w:spacing w:val="-2"/>
          <w:sz w:val="18"/>
          <w:szCs w:val="18"/>
          <w:rtl w:val="0"/>
          <w:lang w:val="de-DE"/>
        </w:rPr>
        <w:t xml:space="preserve">tzt den Kunden bei seinen Entscheidungen. </w:t>
      </w:r>
    </w:p>
    <w:p>
      <w:pPr>
        <w:pStyle w:val="Freie Form"/>
        <w:spacing w:line="288" w:lineRule="auto"/>
        <w:jc w:val="both"/>
        <w:rPr>
          <w:rFonts w:ascii="Arial" w:cs="Arial" w:hAnsi="Arial" w:eastAsia="Arial"/>
          <w:spacing w:val="-2"/>
          <w:sz w:val="18"/>
          <w:szCs w:val="18"/>
          <w:rtl w:val="0"/>
        </w:rPr>
      </w:pPr>
    </w:p>
    <w:p>
      <w:pPr>
        <w:pStyle w:val="Freie Form"/>
        <w:spacing w:line="288" w:lineRule="auto"/>
        <w:jc w:val="both"/>
        <w:rPr>
          <w:rFonts w:ascii="Arial" w:cs="Arial" w:hAnsi="Arial" w:eastAsia="Arial"/>
          <w:spacing w:val="-2"/>
          <w:sz w:val="18"/>
          <w:szCs w:val="18"/>
          <w:rtl w:val="0"/>
        </w:rPr>
      </w:pPr>
      <w:r>
        <w:rPr>
          <w:rFonts w:ascii="Arial"/>
          <w:spacing w:val="-2"/>
          <w:sz w:val="18"/>
          <w:szCs w:val="18"/>
          <w:rtl w:val="0"/>
          <w:lang w:val="de-DE"/>
        </w:rPr>
        <w:t>Von der Beratung bis zum After-Sales-Service werden alle Bauma</w:t>
      </w:r>
      <w:r>
        <w:rPr>
          <w:rFonts w:hAnsi="Arial" w:hint="default"/>
          <w:spacing w:val="-2"/>
          <w:sz w:val="18"/>
          <w:szCs w:val="18"/>
          <w:rtl w:val="0"/>
          <w:lang w:val="de-DE"/>
        </w:rPr>
        <w:t>ß</w:t>
      </w:r>
      <w:r>
        <w:rPr>
          <w:rFonts w:ascii="Arial"/>
          <w:spacing w:val="-2"/>
          <w:sz w:val="18"/>
          <w:szCs w:val="18"/>
          <w:rtl w:val="0"/>
          <w:lang w:val="de-DE"/>
        </w:rPr>
        <w:t xml:space="preserve">nahmen von projektverantwortlichen Beratungsingenieuren begleitet. </w:t>
      </w:r>
    </w:p>
    <w:p>
      <w:pPr>
        <w:pStyle w:val="Freie Form"/>
        <w:spacing w:line="288" w:lineRule="auto"/>
        <w:jc w:val="both"/>
        <w:rPr>
          <w:rFonts w:ascii="Arial" w:cs="Arial" w:hAnsi="Arial" w:eastAsia="Arial"/>
          <w:spacing w:val="-4"/>
          <w:sz w:val="18"/>
          <w:szCs w:val="18"/>
          <w:rtl w:val="0"/>
        </w:rPr>
      </w:pPr>
    </w:p>
    <w:p>
      <w:pPr>
        <w:pStyle w:val="Freie Form"/>
        <w:spacing w:line="288" w:lineRule="auto"/>
        <w:jc w:val="both"/>
      </w:pPr>
      <w:r>
        <w:rPr>
          <w:rFonts w:ascii="Arial"/>
          <w:sz w:val="18"/>
          <w:szCs w:val="18"/>
          <w:rtl w:val="0"/>
          <w:lang w:val="de-DE"/>
        </w:rPr>
        <w:t>www.promstahl.com</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Futura CE Light">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bidi w:val="0"/>
    </w:pPr>
    <w:r/>
  </w:p>
</w:ftr>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f- und Fußzeilen"/>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ext A">
    <w:name w:val="Text A"/>
    <w:next w:val="Text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Standard">
    <w:name w:val="Standard"/>
    <w:next w:val="Standard"/>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de-DE"/>
    </w:rPr>
  </w:style>
  <w:style w:type="paragraph" w:styleId="Freie Form">
    <w:name w:val="Freie Form"/>
    <w:next w:val="Freie Form"/>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lang w:val="de-D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jpg"/><Relationship Id="rId5" Type="http://schemas.openxmlformats.org/officeDocument/2006/relationships/header" Target="header.xml"/><Relationship Id="rId6" Type="http://schemas.openxmlformats.org/officeDocument/2006/relationships/footer" Target="footer.xml"/></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